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DC8" w:rsidRPr="007026A3" w:rsidRDefault="008672B8" w:rsidP="008672B8">
      <w:pPr>
        <w:spacing w:after="0" w:line="240" w:lineRule="auto"/>
        <w:ind w:firstLine="567"/>
        <w:jc w:val="both"/>
        <w:rPr>
          <w:rFonts w:ascii="Times New Roman" w:hAnsi="Times New Roman" w:cs="Times New Roman"/>
          <w:sz w:val="28"/>
          <w:szCs w:val="28"/>
        </w:rPr>
      </w:pPr>
      <w:r w:rsidRPr="007026A3">
        <w:rPr>
          <w:rFonts w:ascii="Times New Roman" w:hAnsi="Times New Roman" w:cs="Times New Roman"/>
          <w:sz w:val="28"/>
          <w:szCs w:val="28"/>
        </w:rPr>
        <w:t xml:space="preserve">Учетная политика для целей бюджетного учета Департамента </w:t>
      </w:r>
      <w:r w:rsidR="00D26DDA" w:rsidRPr="007026A3">
        <w:rPr>
          <w:rFonts w:ascii="Times New Roman" w:hAnsi="Times New Roman" w:cs="Times New Roman"/>
          <w:sz w:val="28"/>
          <w:szCs w:val="28"/>
        </w:rPr>
        <w:t xml:space="preserve">развития информационного общества </w:t>
      </w:r>
      <w:r w:rsidRPr="007026A3">
        <w:rPr>
          <w:rFonts w:ascii="Times New Roman" w:hAnsi="Times New Roman" w:cs="Times New Roman"/>
          <w:sz w:val="28"/>
          <w:szCs w:val="28"/>
        </w:rPr>
        <w:t>Ивановской области (</w:t>
      </w:r>
      <w:r w:rsidR="00D26DDA" w:rsidRPr="007026A3">
        <w:rPr>
          <w:rFonts w:ascii="Times New Roman" w:hAnsi="Times New Roman" w:cs="Times New Roman"/>
          <w:sz w:val="28"/>
          <w:szCs w:val="28"/>
        </w:rPr>
        <w:t xml:space="preserve">Приказ </w:t>
      </w:r>
      <w:r w:rsidRPr="007026A3">
        <w:rPr>
          <w:rFonts w:ascii="Times New Roman" w:hAnsi="Times New Roman" w:cs="Times New Roman"/>
          <w:sz w:val="28"/>
          <w:szCs w:val="28"/>
        </w:rPr>
        <w:t xml:space="preserve">Департамента </w:t>
      </w:r>
      <w:r w:rsidR="00D26DDA" w:rsidRPr="007026A3">
        <w:rPr>
          <w:rFonts w:ascii="Times New Roman" w:hAnsi="Times New Roman" w:cs="Times New Roman"/>
          <w:sz w:val="28"/>
          <w:szCs w:val="28"/>
        </w:rPr>
        <w:t xml:space="preserve">развития информационного общества </w:t>
      </w:r>
      <w:r w:rsidRPr="007026A3">
        <w:rPr>
          <w:rFonts w:ascii="Times New Roman" w:hAnsi="Times New Roman" w:cs="Times New Roman"/>
          <w:sz w:val="28"/>
          <w:szCs w:val="28"/>
        </w:rPr>
        <w:t xml:space="preserve">Ивановской области от </w:t>
      </w:r>
      <w:r w:rsidR="00D26DDA" w:rsidRPr="007026A3">
        <w:rPr>
          <w:rFonts w:ascii="Times New Roman" w:hAnsi="Times New Roman" w:cs="Times New Roman"/>
          <w:sz w:val="28"/>
          <w:szCs w:val="28"/>
        </w:rPr>
        <w:t>30</w:t>
      </w:r>
      <w:r w:rsidRPr="007026A3">
        <w:rPr>
          <w:rFonts w:ascii="Times New Roman" w:hAnsi="Times New Roman" w:cs="Times New Roman"/>
          <w:sz w:val="28"/>
          <w:szCs w:val="28"/>
        </w:rPr>
        <w:t>.12.20</w:t>
      </w:r>
      <w:r w:rsidR="00D26DDA" w:rsidRPr="007026A3">
        <w:rPr>
          <w:rFonts w:ascii="Times New Roman" w:hAnsi="Times New Roman" w:cs="Times New Roman"/>
          <w:sz w:val="28"/>
          <w:szCs w:val="28"/>
        </w:rPr>
        <w:t>20</w:t>
      </w:r>
      <w:r w:rsidRPr="007026A3">
        <w:rPr>
          <w:rFonts w:ascii="Times New Roman" w:hAnsi="Times New Roman" w:cs="Times New Roman"/>
          <w:sz w:val="28"/>
          <w:szCs w:val="28"/>
        </w:rPr>
        <w:t xml:space="preserve"> №</w:t>
      </w:r>
      <w:r w:rsidR="007026A3" w:rsidRPr="007026A3">
        <w:rPr>
          <w:rFonts w:ascii="Times New Roman" w:hAnsi="Times New Roman" w:cs="Times New Roman"/>
          <w:sz w:val="28"/>
          <w:szCs w:val="28"/>
        </w:rPr>
        <w:t>60/20</w:t>
      </w:r>
      <w:r w:rsidRPr="007026A3">
        <w:rPr>
          <w:rFonts w:ascii="Times New Roman" w:hAnsi="Times New Roman" w:cs="Times New Roman"/>
          <w:sz w:val="28"/>
          <w:szCs w:val="28"/>
        </w:rPr>
        <w:t xml:space="preserve"> «Об утверждении Учетной политики </w:t>
      </w:r>
      <w:r w:rsidR="007026A3" w:rsidRPr="007026A3">
        <w:rPr>
          <w:rFonts w:ascii="Times New Roman" w:hAnsi="Times New Roman" w:cs="Times New Roman"/>
          <w:sz w:val="28"/>
          <w:szCs w:val="28"/>
        </w:rPr>
        <w:t>Департамента развития информационного общества Ивановской области</w:t>
      </w:r>
      <w:r w:rsidR="007026A3" w:rsidRPr="007026A3">
        <w:rPr>
          <w:rFonts w:ascii="Times New Roman" w:hAnsi="Times New Roman" w:cs="Times New Roman"/>
          <w:sz w:val="28"/>
          <w:szCs w:val="28"/>
        </w:rPr>
        <w:t xml:space="preserve"> </w:t>
      </w:r>
      <w:r w:rsidRPr="007026A3">
        <w:rPr>
          <w:rFonts w:ascii="Times New Roman" w:hAnsi="Times New Roman" w:cs="Times New Roman"/>
          <w:sz w:val="28"/>
          <w:szCs w:val="28"/>
        </w:rPr>
        <w:t>для целей бюджетного учета») разработана на основании следующих нормативных актов:</w:t>
      </w:r>
    </w:p>
    <w:p w:rsidR="007026A3" w:rsidRPr="007026A3" w:rsidRDefault="007026A3" w:rsidP="007026A3">
      <w:pPr>
        <w:pStyle w:val="ListParagraph"/>
        <w:numPr>
          <w:ilvl w:val="0"/>
          <w:numId w:val="1"/>
        </w:numPr>
        <w:spacing w:after="0"/>
        <w:ind w:left="482"/>
        <w:jc w:val="both"/>
        <w:rPr>
          <w:sz w:val="28"/>
          <w:szCs w:val="28"/>
        </w:rPr>
      </w:pPr>
      <w:r w:rsidRPr="007026A3">
        <w:rPr>
          <w:sz w:val="28"/>
          <w:szCs w:val="28"/>
        </w:rPr>
        <w:t xml:space="preserve">Бюджетный </w:t>
      </w:r>
      <w:hyperlink r:id="rId6" w:history="1">
        <w:r w:rsidRPr="00F601B3">
          <w:rPr>
            <w:rStyle w:val="a4"/>
            <w:color w:val="auto"/>
            <w:sz w:val="28"/>
            <w:szCs w:val="28"/>
            <w:u w:val="none"/>
          </w:rPr>
          <w:t>кодекс</w:t>
        </w:r>
      </w:hyperlink>
      <w:r w:rsidRPr="00F601B3">
        <w:rPr>
          <w:sz w:val="28"/>
          <w:szCs w:val="28"/>
        </w:rPr>
        <w:t xml:space="preserve"> </w:t>
      </w:r>
      <w:r w:rsidRPr="007026A3">
        <w:rPr>
          <w:sz w:val="28"/>
          <w:szCs w:val="28"/>
        </w:rPr>
        <w:t>РФ;</w:t>
      </w:r>
    </w:p>
    <w:p w:rsidR="007026A3" w:rsidRPr="007026A3" w:rsidRDefault="007026A3" w:rsidP="007026A3">
      <w:pPr>
        <w:pStyle w:val="ListParagraph"/>
        <w:numPr>
          <w:ilvl w:val="0"/>
          <w:numId w:val="1"/>
        </w:numPr>
        <w:spacing w:after="0"/>
        <w:ind w:left="482"/>
        <w:jc w:val="both"/>
        <w:rPr>
          <w:sz w:val="28"/>
          <w:szCs w:val="28"/>
        </w:rPr>
      </w:pPr>
      <w:r w:rsidRPr="007026A3">
        <w:rPr>
          <w:sz w:val="28"/>
          <w:szCs w:val="28"/>
        </w:rPr>
        <w:t>Гражданский кодекс Российской Федерации;</w:t>
      </w:r>
    </w:p>
    <w:p w:rsidR="007026A3" w:rsidRPr="007026A3" w:rsidRDefault="007026A3" w:rsidP="007026A3">
      <w:pPr>
        <w:pStyle w:val="ListParagraph"/>
        <w:numPr>
          <w:ilvl w:val="0"/>
          <w:numId w:val="1"/>
        </w:numPr>
        <w:spacing w:after="0"/>
        <w:ind w:left="482"/>
        <w:jc w:val="both"/>
        <w:rPr>
          <w:sz w:val="28"/>
          <w:szCs w:val="28"/>
        </w:rPr>
      </w:pPr>
      <w:r w:rsidRPr="007026A3">
        <w:rPr>
          <w:sz w:val="28"/>
          <w:szCs w:val="28"/>
        </w:rPr>
        <w:t>Налоговый кодекс Российской Федерации;</w:t>
      </w:r>
    </w:p>
    <w:p w:rsidR="007026A3" w:rsidRPr="007026A3" w:rsidRDefault="007026A3" w:rsidP="007026A3">
      <w:pPr>
        <w:pStyle w:val="ListParagraph"/>
        <w:numPr>
          <w:ilvl w:val="0"/>
          <w:numId w:val="1"/>
        </w:numPr>
        <w:spacing w:after="0"/>
        <w:ind w:left="482"/>
        <w:jc w:val="both"/>
        <w:rPr>
          <w:sz w:val="28"/>
          <w:szCs w:val="28"/>
        </w:rPr>
      </w:pPr>
      <w:r w:rsidRPr="007026A3">
        <w:rPr>
          <w:sz w:val="28"/>
          <w:szCs w:val="28"/>
        </w:rPr>
        <w:t>Трудовой кодекс Российской Федерации;</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Федеральный </w:t>
      </w:r>
      <w:hyperlink r:id="rId7" w:history="1">
        <w:r w:rsidRPr="007026A3">
          <w:rPr>
            <w:sz w:val="28"/>
            <w:szCs w:val="28"/>
          </w:rPr>
          <w:t>закон</w:t>
        </w:r>
      </w:hyperlink>
      <w:r w:rsidRPr="007026A3">
        <w:rPr>
          <w:sz w:val="28"/>
          <w:szCs w:val="28"/>
        </w:rPr>
        <w:t xml:space="preserve"> от 06.12.2011 № 402-ФЗ "О бухгалтерском учете";</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Федеральный закон от 24.07.1998 № 125-ФЗ «Об обязательном социальном страховании от несчастных случаев на производстве и профессиональных заболеваний»;</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 Федеральный закон от 27.07.2004 № 79-ФЗ «О государственной гражданской службе Российской Федерации»;</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Федеральный закон от 06.04.2011 № 63-ФЗ «Об электронной подписи»;</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Федеральный </w:t>
      </w:r>
      <w:hyperlink r:id="rId8" w:history="1">
        <w:r w:rsidRPr="007026A3">
          <w:rPr>
            <w:sz w:val="28"/>
            <w:szCs w:val="28"/>
          </w:rPr>
          <w:t>закон</w:t>
        </w:r>
      </w:hyperlink>
      <w:r w:rsidRPr="007026A3">
        <w:rPr>
          <w:sz w:val="28"/>
          <w:szCs w:val="28"/>
        </w:rPr>
        <w:t xml:space="preserve"> от 12.01.1996 № 7-ФЗ "О некоммерческих организациях";</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Федеральный </w:t>
      </w:r>
      <w:hyperlink r:id="rId9" w:history="1">
        <w:r w:rsidRPr="007026A3">
          <w:rPr>
            <w:sz w:val="28"/>
            <w:szCs w:val="28"/>
          </w:rPr>
          <w:t>стандарт</w:t>
        </w:r>
      </w:hyperlink>
      <w:r w:rsidRPr="007026A3">
        <w:rPr>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Федеральный </w:t>
      </w:r>
      <w:hyperlink r:id="rId10" w:history="1">
        <w:r w:rsidRPr="007026A3">
          <w:rPr>
            <w:sz w:val="28"/>
            <w:szCs w:val="28"/>
          </w:rPr>
          <w:t>стандарт</w:t>
        </w:r>
      </w:hyperlink>
      <w:r w:rsidRPr="007026A3">
        <w:rPr>
          <w:sz w:val="28"/>
          <w:szCs w:val="28"/>
        </w:rPr>
        <w:t xml:space="preserve"> бухгалтерского учета для организаций государственного сектора "Основные средства", утвержденный Приказом Минф</w:t>
      </w:r>
      <w:r w:rsidR="00F601B3">
        <w:rPr>
          <w:sz w:val="28"/>
          <w:szCs w:val="28"/>
        </w:rPr>
        <w:t>ина России от 31.12.2016 № 257н</w:t>
      </w:r>
      <w:r w:rsidRPr="007026A3">
        <w:rPr>
          <w:sz w:val="28"/>
          <w:szCs w:val="28"/>
        </w:rPr>
        <w:t>;</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Федеральный </w:t>
      </w:r>
      <w:hyperlink r:id="rId11" w:history="1">
        <w:r w:rsidRPr="007026A3">
          <w:rPr>
            <w:sz w:val="28"/>
            <w:szCs w:val="28"/>
          </w:rPr>
          <w:t>стандарт</w:t>
        </w:r>
      </w:hyperlink>
      <w:r w:rsidRPr="007026A3">
        <w:rPr>
          <w:sz w:val="28"/>
          <w:szCs w:val="28"/>
        </w:rPr>
        <w:t xml:space="preserve"> бухгалтерского учета для организаций государственного сектора "Аренда", утвержденный Приказом Минф</w:t>
      </w:r>
      <w:r w:rsidR="00F601B3">
        <w:rPr>
          <w:sz w:val="28"/>
          <w:szCs w:val="28"/>
        </w:rPr>
        <w:t>ина России от 31.12.2016 № 258н</w:t>
      </w:r>
      <w:r w:rsidRPr="007026A3">
        <w:rPr>
          <w:sz w:val="28"/>
          <w:szCs w:val="28"/>
        </w:rPr>
        <w:t>;</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Федеральный </w:t>
      </w:r>
      <w:hyperlink r:id="rId12" w:history="1">
        <w:r w:rsidRPr="007026A3">
          <w:rPr>
            <w:sz w:val="28"/>
            <w:szCs w:val="28"/>
          </w:rPr>
          <w:t>стандарт</w:t>
        </w:r>
      </w:hyperlink>
      <w:r w:rsidRPr="007026A3">
        <w:rPr>
          <w:sz w:val="28"/>
          <w:szCs w:val="28"/>
        </w:rPr>
        <w:t xml:space="preserve"> бухгалтерского учета для организаций государственного сектора "Обесценение активов", утвержденный Приказом Минфина России от 31.12.2016 № 259н;</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Федеральный </w:t>
      </w:r>
      <w:hyperlink r:id="rId13" w:history="1">
        <w:r w:rsidRPr="007026A3">
          <w:rPr>
            <w:sz w:val="28"/>
            <w:szCs w:val="28"/>
          </w:rPr>
          <w:t>стандарт</w:t>
        </w:r>
      </w:hyperlink>
      <w:r w:rsidRPr="007026A3">
        <w:rPr>
          <w:sz w:val="28"/>
          <w:szCs w:val="28"/>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Федеральный </w:t>
      </w:r>
      <w:hyperlink r:id="rId14" w:history="1">
        <w:r w:rsidRPr="007026A3">
          <w:rPr>
            <w:sz w:val="28"/>
            <w:szCs w:val="28"/>
          </w:rPr>
          <w:t>стандарт</w:t>
        </w:r>
      </w:hyperlink>
      <w:r w:rsidRPr="007026A3">
        <w:rPr>
          <w:sz w:val="28"/>
          <w:szCs w:val="28"/>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lastRenderedPageBreak/>
        <w:t xml:space="preserve">Федеральный </w:t>
      </w:r>
      <w:hyperlink r:id="rId15" w:history="1">
        <w:r w:rsidRPr="007026A3">
          <w:rPr>
            <w:sz w:val="28"/>
            <w:szCs w:val="28"/>
          </w:rPr>
          <w:t>стандарт</w:t>
        </w:r>
      </w:hyperlink>
      <w:r w:rsidRPr="007026A3">
        <w:rPr>
          <w:sz w:val="28"/>
          <w:szCs w:val="28"/>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w:t>
      </w:r>
      <w:r w:rsidR="00F601B3">
        <w:rPr>
          <w:sz w:val="28"/>
          <w:szCs w:val="28"/>
        </w:rPr>
        <w:t>а России от 30.12.2017 № 274н;</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Федеральный </w:t>
      </w:r>
      <w:hyperlink r:id="rId16" w:history="1">
        <w:r w:rsidRPr="007026A3">
          <w:rPr>
            <w:sz w:val="28"/>
            <w:szCs w:val="28"/>
          </w:rPr>
          <w:t>стандарт</w:t>
        </w:r>
      </w:hyperlink>
      <w:r w:rsidRPr="007026A3">
        <w:rPr>
          <w:sz w:val="28"/>
          <w:szCs w:val="28"/>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Федеральный </w:t>
      </w:r>
      <w:hyperlink r:id="rId17" w:history="1">
        <w:r w:rsidRPr="007026A3">
          <w:rPr>
            <w:sz w:val="28"/>
            <w:szCs w:val="28"/>
          </w:rPr>
          <w:t>стандарт</w:t>
        </w:r>
      </w:hyperlink>
      <w:r w:rsidRPr="007026A3">
        <w:rPr>
          <w:sz w:val="28"/>
          <w:szCs w:val="28"/>
        </w:rPr>
        <w:t xml:space="preserve"> бухгалтерского учета для организаций государственного сектора "Доходы", утвержденный Приказом Минфина России от 27.02.2018 № 32н;</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Федеральный </w:t>
      </w:r>
      <w:hyperlink r:id="rId18" w:history="1">
        <w:r w:rsidRPr="007026A3">
          <w:rPr>
            <w:sz w:val="28"/>
            <w:szCs w:val="28"/>
          </w:rPr>
          <w:t>стандарт</w:t>
        </w:r>
      </w:hyperlink>
      <w:r w:rsidRPr="007026A3">
        <w:rPr>
          <w:sz w:val="28"/>
          <w:szCs w:val="28"/>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Единый </w:t>
      </w:r>
      <w:hyperlink r:id="rId19" w:history="1">
        <w:r w:rsidRPr="007026A3">
          <w:rPr>
            <w:sz w:val="28"/>
            <w:szCs w:val="28"/>
          </w:rPr>
          <w:t>план</w:t>
        </w:r>
      </w:hyperlink>
      <w:r w:rsidRPr="007026A3">
        <w:rPr>
          <w:sz w:val="28"/>
          <w:szCs w:val="28"/>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w:t>
      </w:r>
    </w:p>
    <w:p w:rsidR="007026A3" w:rsidRPr="007026A3" w:rsidRDefault="007026A3" w:rsidP="007026A3">
      <w:pPr>
        <w:pStyle w:val="ListParagraph"/>
        <w:numPr>
          <w:ilvl w:val="0"/>
          <w:numId w:val="1"/>
        </w:numPr>
        <w:spacing w:after="0"/>
        <w:ind w:firstLine="482"/>
        <w:jc w:val="both"/>
        <w:rPr>
          <w:sz w:val="28"/>
          <w:szCs w:val="28"/>
        </w:rPr>
      </w:pPr>
      <w:hyperlink r:id="rId20" w:history="1">
        <w:r w:rsidRPr="007026A3">
          <w:rPr>
            <w:sz w:val="28"/>
            <w:szCs w:val="28"/>
          </w:rPr>
          <w:t>Инструкция</w:t>
        </w:r>
      </w:hyperlink>
      <w:r w:rsidRPr="007026A3">
        <w:rPr>
          <w:sz w:val="28"/>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w:t>
      </w:r>
    </w:p>
    <w:p w:rsidR="007026A3" w:rsidRPr="007026A3" w:rsidRDefault="007026A3" w:rsidP="007026A3">
      <w:pPr>
        <w:pStyle w:val="ListParagraph"/>
        <w:numPr>
          <w:ilvl w:val="0"/>
          <w:numId w:val="1"/>
        </w:numPr>
        <w:spacing w:after="0"/>
        <w:ind w:firstLine="482"/>
        <w:jc w:val="both"/>
        <w:rPr>
          <w:sz w:val="28"/>
          <w:szCs w:val="28"/>
        </w:rPr>
      </w:pPr>
      <w:hyperlink r:id="rId21" w:history="1">
        <w:r w:rsidRPr="007026A3">
          <w:rPr>
            <w:sz w:val="28"/>
            <w:szCs w:val="28"/>
          </w:rPr>
          <w:t>План</w:t>
        </w:r>
      </w:hyperlink>
      <w:r w:rsidRPr="007026A3">
        <w:rPr>
          <w:sz w:val="28"/>
          <w:szCs w:val="28"/>
        </w:rPr>
        <w:t xml:space="preserve"> счетов бюджетного учета, утвержденный Приказом Минфина России от 06.12.2010 № 162н;</w:t>
      </w:r>
    </w:p>
    <w:p w:rsidR="007026A3" w:rsidRPr="007026A3" w:rsidRDefault="007026A3" w:rsidP="007026A3">
      <w:pPr>
        <w:pStyle w:val="ListParagraph"/>
        <w:numPr>
          <w:ilvl w:val="0"/>
          <w:numId w:val="1"/>
        </w:numPr>
        <w:spacing w:after="0"/>
        <w:ind w:firstLine="482"/>
        <w:jc w:val="both"/>
        <w:rPr>
          <w:sz w:val="28"/>
          <w:szCs w:val="28"/>
        </w:rPr>
      </w:pPr>
      <w:hyperlink r:id="rId22" w:history="1">
        <w:r w:rsidRPr="007026A3">
          <w:rPr>
            <w:sz w:val="28"/>
            <w:szCs w:val="28"/>
          </w:rPr>
          <w:t>Инструкция</w:t>
        </w:r>
      </w:hyperlink>
      <w:r w:rsidRPr="007026A3">
        <w:rPr>
          <w:sz w:val="28"/>
          <w:szCs w:val="28"/>
        </w:rPr>
        <w:t xml:space="preserve"> по применению Плана счетов бюджетного учета, утвержденная Приказом Минфина России от 06.12.2010 № 162н;</w:t>
      </w:r>
    </w:p>
    <w:p w:rsidR="007026A3" w:rsidRPr="007026A3" w:rsidRDefault="007026A3" w:rsidP="007026A3">
      <w:pPr>
        <w:pStyle w:val="ListParagraph"/>
        <w:numPr>
          <w:ilvl w:val="0"/>
          <w:numId w:val="1"/>
        </w:numPr>
        <w:spacing w:after="0"/>
        <w:ind w:firstLine="482"/>
        <w:jc w:val="both"/>
        <w:rPr>
          <w:sz w:val="28"/>
          <w:szCs w:val="28"/>
        </w:rPr>
      </w:pPr>
      <w:hyperlink r:id="rId23" w:history="1">
        <w:r w:rsidRPr="007026A3">
          <w:rPr>
            <w:sz w:val="28"/>
            <w:szCs w:val="28"/>
          </w:rPr>
          <w:t>Приказ</w:t>
        </w:r>
      </w:hyperlink>
      <w:r w:rsidRPr="007026A3">
        <w:rPr>
          <w:sz w:val="28"/>
          <w:szCs w:val="28"/>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Методические </w:t>
      </w:r>
      <w:hyperlink r:id="rId24" w:history="1">
        <w:r w:rsidRPr="007026A3">
          <w:rPr>
            <w:sz w:val="28"/>
            <w:szCs w:val="28"/>
          </w:rPr>
          <w:t>указания</w:t>
        </w:r>
      </w:hyperlink>
      <w:r w:rsidRPr="007026A3">
        <w:rPr>
          <w:sz w:val="28"/>
          <w:szCs w:val="28"/>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w:t>
      </w:r>
      <w:proofErr w:type="gramStart"/>
      <w:r w:rsidRPr="007026A3">
        <w:rPr>
          <w:sz w:val="28"/>
          <w:szCs w:val="28"/>
        </w:rPr>
        <w:t xml:space="preserve"> ;</w:t>
      </w:r>
      <w:proofErr w:type="gramEnd"/>
    </w:p>
    <w:p w:rsidR="007026A3" w:rsidRPr="007026A3" w:rsidRDefault="007026A3" w:rsidP="007026A3">
      <w:pPr>
        <w:pStyle w:val="ListParagraph"/>
        <w:numPr>
          <w:ilvl w:val="0"/>
          <w:numId w:val="1"/>
        </w:numPr>
        <w:spacing w:after="0"/>
        <w:ind w:firstLine="482"/>
        <w:jc w:val="both"/>
        <w:rPr>
          <w:sz w:val="28"/>
          <w:szCs w:val="28"/>
        </w:rPr>
      </w:pPr>
      <w:hyperlink r:id="rId25" w:history="1">
        <w:r w:rsidRPr="007026A3">
          <w:rPr>
            <w:sz w:val="28"/>
            <w:szCs w:val="28"/>
          </w:rPr>
          <w:t>Указание</w:t>
        </w:r>
      </w:hyperlink>
      <w:r w:rsidRPr="007026A3">
        <w:rPr>
          <w:sz w:val="28"/>
          <w:szCs w:val="28"/>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7026A3" w:rsidRPr="007026A3" w:rsidRDefault="007026A3" w:rsidP="007026A3">
      <w:pPr>
        <w:pStyle w:val="ListParagraph"/>
        <w:numPr>
          <w:ilvl w:val="0"/>
          <w:numId w:val="1"/>
        </w:numPr>
        <w:spacing w:after="0"/>
        <w:ind w:firstLine="482"/>
        <w:jc w:val="both"/>
        <w:rPr>
          <w:sz w:val="28"/>
          <w:szCs w:val="28"/>
        </w:rPr>
      </w:pPr>
      <w:hyperlink r:id="rId26" w:history="1">
        <w:r w:rsidRPr="007026A3">
          <w:rPr>
            <w:sz w:val="28"/>
            <w:szCs w:val="28"/>
          </w:rPr>
          <w:t>Указание</w:t>
        </w:r>
      </w:hyperlink>
      <w:r w:rsidRPr="007026A3">
        <w:rPr>
          <w:sz w:val="28"/>
          <w:szCs w:val="28"/>
        </w:rPr>
        <w:t xml:space="preserve"> Банка России от 07.10.2013 № 3073-У "Об осуществлении наличных расчетов";</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Методические </w:t>
      </w:r>
      <w:hyperlink r:id="rId27" w:history="1">
        <w:r w:rsidRPr="007026A3">
          <w:rPr>
            <w:sz w:val="28"/>
            <w:szCs w:val="28"/>
          </w:rPr>
          <w:t>указания</w:t>
        </w:r>
      </w:hyperlink>
      <w:r w:rsidRPr="007026A3">
        <w:rPr>
          <w:sz w:val="28"/>
          <w:szCs w:val="28"/>
        </w:rPr>
        <w:t xml:space="preserve"> по инвентаризации имущества и финансовых обязательств, утвержденные Приказом Минфина России от 13.06.1995 № 49;</w:t>
      </w:r>
    </w:p>
    <w:p w:rsidR="007026A3" w:rsidRPr="007026A3" w:rsidRDefault="007026A3" w:rsidP="007026A3">
      <w:pPr>
        <w:pStyle w:val="ListParagraph"/>
        <w:numPr>
          <w:ilvl w:val="0"/>
          <w:numId w:val="1"/>
        </w:numPr>
        <w:spacing w:after="0"/>
        <w:ind w:firstLine="482"/>
        <w:jc w:val="both"/>
        <w:rPr>
          <w:sz w:val="28"/>
          <w:szCs w:val="28"/>
        </w:rPr>
      </w:pPr>
      <w:hyperlink r:id="rId28" w:history="1">
        <w:r w:rsidRPr="007026A3">
          <w:rPr>
            <w:sz w:val="28"/>
            <w:szCs w:val="28"/>
          </w:rPr>
          <w:t>Инструкция</w:t>
        </w:r>
      </w:hyperlink>
      <w:r w:rsidRPr="007026A3">
        <w:rPr>
          <w:sz w:val="28"/>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w:t>
      </w:r>
    </w:p>
    <w:p w:rsidR="007026A3" w:rsidRPr="007026A3" w:rsidRDefault="007026A3" w:rsidP="007026A3">
      <w:pPr>
        <w:pStyle w:val="ListParagraph"/>
        <w:numPr>
          <w:ilvl w:val="0"/>
          <w:numId w:val="1"/>
        </w:numPr>
        <w:spacing w:after="0"/>
        <w:ind w:firstLine="482"/>
        <w:jc w:val="both"/>
        <w:rPr>
          <w:sz w:val="28"/>
          <w:szCs w:val="28"/>
        </w:rPr>
      </w:pPr>
      <w:hyperlink r:id="rId29" w:history="1">
        <w:r w:rsidRPr="007026A3">
          <w:rPr>
            <w:sz w:val="28"/>
            <w:szCs w:val="28"/>
          </w:rPr>
          <w:t>Порядок</w:t>
        </w:r>
      </w:hyperlink>
      <w:r w:rsidRPr="007026A3">
        <w:rPr>
          <w:sz w:val="28"/>
          <w:szCs w:val="28"/>
        </w:rPr>
        <w:t xml:space="preserve"> формирования и применения кодов бюджетной классификации Российской Федерации, утвержденный Приказом Минфина России от 08.06.2018 № 132н;</w:t>
      </w:r>
    </w:p>
    <w:p w:rsidR="007026A3" w:rsidRPr="007026A3" w:rsidRDefault="007026A3" w:rsidP="007026A3">
      <w:pPr>
        <w:pStyle w:val="ListParagraph"/>
        <w:numPr>
          <w:ilvl w:val="0"/>
          <w:numId w:val="1"/>
        </w:numPr>
        <w:spacing w:after="0"/>
        <w:ind w:firstLine="482"/>
        <w:jc w:val="both"/>
        <w:rPr>
          <w:sz w:val="28"/>
          <w:szCs w:val="28"/>
        </w:rPr>
      </w:pPr>
      <w:hyperlink r:id="rId30" w:history="1">
        <w:r w:rsidRPr="007026A3">
          <w:rPr>
            <w:sz w:val="28"/>
            <w:szCs w:val="28"/>
          </w:rPr>
          <w:t>Порядок</w:t>
        </w:r>
      </w:hyperlink>
      <w:r w:rsidRPr="007026A3">
        <w:rPr>
          <w:sz w:val="28"/>
          <w:szCs w:val="28"/>
        </w:rPr>
        <w:t xml:space="preserve"> применения классификации операций сектора государственного управления, утвержденный Приказом Минфина России от 29.11.2017 № 209н;</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Постановление Правительства Российской Федерации от 01.01.2002 № 1 «О Классификации основных средств, включаемых в  амортизаци</w:t>
      </w:r>
      <w:r w:rsidR="00F601B3">
        <w:rPr>
          <w:sz w:val="28"/>
          <w:szCs w:val="28"/>
        </w:rPr>
        <w:t>онные группы»</w:t>
      </w:r>
      <w:r w:rsidRPr="007026A3">
        <w:rPr>
          <w:sz w:val="28"/>
          <w:szCs w:val="28"/>
        </w:rPr>
        <w:t>;</w:t>
      </w:r>
    </w:p>
    <w:p w:rsidR="007026A3" w:rsidRPr="007026A3" w:rsidRDefault="007026A3" w:rsidP="007026A3">
      <w:pPr>
        <w:pStyle w:val="ListParagraph"/>
        <w:numPr>
          <w:ilvl w:val="0"/>
          <w:numId w:val="1"/>
        </w:numPr>
        <w:spacing w:after="0"/>
        <w:ind w:firstLine="482"/>
        <w:jc w:val="both"/>
        <w:rPr>
          <w:sz w:val="28"/>
          <w:szCs w:val="28"/>
        </w:rPr>
      </w:pPr>
      <w:r w:rsidRPr="007026A3">
        <w:rPr>
          <w:sz w:val="28"/>
          <w:szCs w:val="28"/>
        </w:rPr>
        <w:t xml:space="preserve">Федеральный </w:t>
      </w:r>
      <w:hyperlink r:id="rId31" w:history="1">
        <w:r w:rsidRPr="007026A3">
          <w:rPr>
            <w:sz w:val="28"/>
            <w:szCs w:val="28"/>
          </w:rPr>
          <w:t>стандарт</w:t>
        </w:r>
      </w:hyperlink>
      <w:r w:rsidRPr="007026A3">
        <w:rPr>
          <w:sz w:val="28"/>
          <w:szCs w:val="28"/>
        </w:rPr>
        <w:t xml:space="preserve"> бухгалтерского учета для организаций государственного сектора «Непроизведенные активы», утвержденный приказом Мин</w:t>
      </w:r>
      <w:r w:rsidR="00F601B3">
        <w:rPr>
          <w:sz w:val="28"/>
          <w:szCs w:val="28"/>
        </w:rPr>
        <w:t>фина России от 28.02.2018 № 34н</w:t>
      </w:r>
      <w:r w:rsidRPr="007026A3">
        <w:rPr>
          <w:sz w:val="28"/>
          <w:szCs w:val="28"/>
        </w:rPr>
        <w:t>;</w:t>
      </w:r>
    </w:p>
    <w:p w:rsidR="00F601B3" w:rsidRDefault="007026A3" w:rsidP="00F601B3">
      <w:pPr>
        <w:spacing w:after="0" w:line="240" w:lineRule="auto"/>
        <w:jc w:val="both"/>
        <w:rPr>
          <w:rFonts w:ascii="Times New Roman" w:hAnsi="Times New Roman" w:cs="Times New Roman"/>
          <w:sz w:val="28"/>
          <w:szCs w:val="28"/>
        </w:rPr>
      </w:pPr>
      <w:r w:rsidRPr="007026A3">
        <w:rPr>
          <w:rFonts w:ascii="Times New Roman" w:hAnsi="Times New Roman" w:cs="Times New Roman"/>
          <w:sz w:val="28"/>
          <w:szCs w:val="28"/>
        </w:rPr>
        <w:t xml:space="preserve">       - Федеральный </w:t>
      </w:r>
      <w:hyperlink r:id="rId32" w:history="1">
        <w:r w:rsidRPr="00F601B3">
          <w:rPr>
            <w:rStyle w:val="a4"/>
            <w:rFonts w:ascii="Times New Roman" w:hAnsi="Times New Roman" w:cs="Times New Roman"/>
            <w:color w:val="auto"/>
            <w:sz w:val="28"/>
            <w:szCs w:val="28"/>
            <w:u w:val="none"/>
          </w:rPr>
          <w:t>стандарт</w:t>
        </w:r>
      </w:hyperlink>
      <w:r w:rsidRPr="007026A3">
        <w:rPr>
          <w:rFonts w:ascii="Times New Roman" w:hAnsi="Times New Roman" w:cs="Times New Roman"/>
          <w:sz w:val="28"/>
          <w:szCs w:val="28"/>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w:t>
      </w:r>
      <w:r w:rsidR="00F601B3">
        <w:rPr>
          <w:rFonts w:ascii="Times New Roman" w:hAnsi="Times New Roman" w:cs="Times New Roman"/>
          <w:sz w:val="28"/>
          <w:szCs w:val="28"/>
        </w:rPr>
        <w:t>фина России от 28.02.2018 № 37н;</w:t>
      </w:r>
    </w:p>
    <w:p w:rsidR="007026A3" w:rsidRPr="007026A3" w:rsidRDefault="007026A3" w:rsidP="00F601B3">
      <w:pPr>
        <w:spacing w:after="0" w:line="240" w:lineRule="auto"/>
        <w:jc w:val="both"/>
        <w:rPr>
          <w:rFonts w:ascii="Times New Roman" w:hAnsi="Times New Roman" w:cs="Times New Roman"/>
          <w:sz w:val="28"/>
          <w:szCs w:val="28"/>
        </w:rPr>
      </w:pPr>
      <w:r w:rsidRPr="007026A3">
        <w:rPr>
          <w:rFonts w:ascii="Times New Roman" w:hAnsi="Times New Roman" w:cs="Times New Roman"/>
          <w:sz w:val="28"/>
          <w:szCs w:val="28"/>
        </w:rPr>
        <w:tab/>
        <w:t xml:space="preserve">- Федеральный </w:t>
      </w:r>
      <w:hyperlink r:id="rId33" w:history="1">
        <w:r w:rsidRPr="00F601B3">
          <w:rPr>
            <w:rStyle w:val="a4"/>
            <w:rFonts w:ascii="Times New Roman" w:hAnsi="Times New Roman" w:cs="Times New Roman"/>
            <w:color w:val="auto"/>
            <w:sz w:val="28"/>
            <w:szCs w:val="28"/>
            <w:u w:val="none"/>
          </w:rPr>
          <w:t>стандарт</w:t>
        </w:r>
      </w:hyperlink>
      <w:r w:rsidRPr="007026A3">
        <w:rPr>
          <w:rFonts w:ascii="Times New Roman" w:hAnsi="Times New Roman" w:cs="Times New Roman"/>
          <w:sz w:val="28"/>
          <w:szCs w:val="28"/>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w:t>
      </w:r>
      <w:proofErr w:type="gramStart"/>
      <w:r w:rsidRPr="007026A3">
        <w:rPr>
          <w:rFonts w:ascii="Times New Roman" w:hAnsi="Times New Roman" w:cs="Times New Roman"/>
          <w:sz w:val="28"/>
          <w:szCs w:val="28"/>
        </w:rPr>
        <w:t>утвержденный</w:t>
      </w:r>
      <w:proofErr w:type="gramEnd"/>
      <w:r w:rsidRPr="007026A3">
        <w:rPr>
          <w:rFonts w:ascii="Times New Roman" w:hAnsi="Times New Roman" w:cs="Times New Roman"/>
          <w:sz w:val="28"/>
          <w:szCs w:val="28"/>
        </w:rPr>
        <w:t xml:space="preserve"> приказом Минфина России от 30.05.2018 № 124н; </w:t>
      </w:r>
    </w:p>
    <w:p w:rsidR="007026A3" w:rsidRPr="007026A3" w:rsidRDefault="007026A3" w:rsidP="00F601B3">
      <w:pPr>
        <w:pStyle w:val="22"/>
        <w:numPr>
          <w:ilvl w:val="0"/>
          <w:numId w:val="3"/>
        </w:numPr>
        <w:shd w:val="clear" w:color="auto" w:fill="auto"/>
        <w:tabs>
          <w:tab w:val="left" w:pos="1035"/>
        </w:tabs>
        <w:spacing w:before="0" w:after="0" w:line="240" w:lineRule="auto"/>
        <w:ind w:firstLine="740"/>
        <w:rPr>
          <w:rFonts w:ascii="Times New Roman" w:hAnsi="Times New Roman" w:cs="Times New Roman"/>
        </w:rPr>
      </w:pPr>
      <w:r w:rsidRPr="007026A3">
        <w:rPr>
          <w:rFonts w:ascii="Times New Roman" w:hAnsi="Times New Roman" w:cs="Times New Roman"/>
        </w:rPr>
        <w:t>приказ Федерального агентства по техническому регулированию и метрологии от 12.12.2014 № 2018-ст «</w:t>
      </w:r>
      <w:proofErr w:type="gramStart"/>
      <w:r w:rsidRPr="007026A3">
        <w:rPr>
          <w:rFonts w:ascii="Times New Roman" w:hAnsi="Times New Roman" w:cs="Times New Roman"/>
        </w:rPr>
        <w:t>ОК</w:t>
      </w:r>
      <w:proofErr w:type="gramEnd"/>
      <w:r w:rsidRPr="007026A3">
        <w:rPr>
          <w:rFonts w:ascii="Times New Roman" w:hAnsi="Times New Roman" w:cs="Times New Roman"/>
        </w:rPr>
        <w:t xml:space="preserve"> 013-2014» (СНС 2008). Общероссийский классификатор </w:t>
      </w:r>
      <w:proofErr w:type="gramStart"/>
      <w:r w:rsidRPr="007026A3">
        <w:rPr>
          <w:rFonts w:ascii="Times New Roman" w:hAnsi="Times New Roman" w:cs="Times New Roman"/>
        </w:rPr>
        <w:t>основных</w:t>
      </w:r>
      <w:proofErr w:type="gramEnd"/>
      <w:r w:rsidRPr="007026A3">
        <w:rPr>
          <w:rFonts w:ascii="Times New Roman" w:hAnsi="Times New Roman" w:cs="Times New Roman"/>
        </w:rPr>
        <w:t>;</w:t>
      </w:r>
    </w:p>
    <w:p w:rsidR="007026A3" w:rsidRPr="007026A3" w:rsidRDefault="007026A3" w:rsidP="00F601B3">
      <w:pPr>
        <w:pStyle w:val="22"/>
        <w:numPr>
          <w:ilvl w:val="0"/>
          <w:numId w:val="3"/>
        </w:numPr>
        <w:shd w:val="clear" w:color="auto" w:fill="auto"/>
        <w:spacing w:before="0" w:after="0" w:line="240" w:lineRule="auto"/>
        <w:ind w:firstLine="740"/>
        <w:rPr>
          <w:rFonts w:ascii="Times New Roman" w:hAnsi="Times New Roman" w:cs="Times New Roman"/>
        </w:rPr>
      </w:pPr>
      <w:r w:rsidRPr="007026A3">
        <w:rPr>
          <w:rFonts w:ascii="Times New Roman" w:hAnsi="Times New Roman" w:cs="Times New Roman"/>
        </w:rPr>
        <w:t xml:space="preserve"> приказ Казначейства России от 12.05.2017 № 11н «Об утверждении Порядка ведения Государственной информационной системы о государственных и муниципальных платежах»;</w:t>
      </w:r>
    </w:p>
    <w:p w:rsidR="007026A3" w:rsidRPr="007026A3" w:rsidRDefault="007026A3" w:rsidP="00F601B3">
      <w:pPr>
        <w:pStyle w:val="22"/>
        <w:numPr>
          <w:ilvl w:val="0"/>
          <w:numId w:val="3"/>
        </w:numPr>
        <w:shd w:val="clear" w:color="auto" w:fill="auto"/>
        <w:tabs>
          <w:tab w:val="left" w:pos="1042"/>
        </w:tabs>
        <w:spacing w:before="0" w:after="0" w:line="240" w:lineRule="auto"/>
        <w:ind w:firstLine="740"/>
        <w:rPr>
          <w:rFonts w:ascii="Times New Roman" w:hAnsi="Times New Roman" w:cs="Times New Roman"/>
        </w:rPr>
      </w:pPr>
      <w:r w:rsidRPr="007026A3">
        <w:rPr>
          <w:rFonts w:ascii="Times New Roman" w:hAnsi="Times New Roman" w:cs="Times New Roman"/>
        </w:rPr>
        <w:t>постановление Правительства Ивановской области от 25.06.2018 № 184-п «Об утверждении Положения о порядке и условиях командирования государственных гражданских служащих Ивановской области и возмещения им расходов, связанных со служебными командировками на территории Российской Феде</w:t>
      </w:r>
      <w:r w:rsidR="002B6C63">
        <w:rPr>
          <w:rFonts w:ascii="Times New Roman" w:hAnsi="Times New Roman" w:cs="Times New Roman"/>
        </w:rPr>
        <w:t>рации и иностранных государств»</w:t>
      </w:r>
      <w:r w:rsidRPr="007026A3">
        <w:rPr>
          <w:rFonts w:ascii="Times New Roman" w:hAnsi="Times New Roman" w:cs="Times New Roman"/>
        </w:rPr>
        <w:t>;</w:t>
      </w:r>
    </w:p>
    <w:p w:rsidR="007026A3" w:rsidRPr="007026A3" w:rsidRDefault="007026A3" w:rsidP="007026A3">
      <w:pPr>
        <w:pStyle w:val="22"/>
        <w:numPr>
          <w:ilvl w:val="0"/>
          <w:numId w:val="3"/>
        </w:numPr>
        <w:shd w:val="clear" w:color="auto" w:fill="auto"/>
        <w:tabs>
          <w:tab w:val="left" w:pos="1007"/>
        </w:tabs>
        <w:spacing w:before="0" w:after="0" w:line="320" w:lineRule="exact"/>
        <w:ind w:firstLine="740"/>
        <w:rPr>
          <w:rFonts w:ascii="Times New Roman" w:hAnsi="Times New Roman" w:cs="Times New Roman"/>
        </w:rPr>
      </w:pPr>
      <w:r w:rsidRPr="007026A3">
        <w:rPr>
          <w:rFonts w:ascii="Times New Roman" w:hAnsi="Times New Roman" w:cs="Times New Roman"/>
        </w:rPr>
        <w:t xml:space="preserve">постановление Правительства Ивановской области от 07.09.2016 № 304-п «О списании имущества, находящегося в собственности Ивановской области, и о признании утратившим силу постановления Правительства Ивановской области от 07.04.2015 </w:t>
      </w:r>
      <w:r w:rsidRPr="007026A3">
        <w:rPr>
          <w:rFonts w:ascii="Times New Roman" w:hAnsi="Times New Roman" w:cs="Times New Roman"/>
          <w:lang w:val="en-US" w:bidi="en-US"/>
        </w:rPr>
        <w:t>N</w:t>
      </w:r>
      <w:r w:rsidRPr="007026A3">
        <w:rPr>
          <w:rFonts w:ascii="Times New Roman" w:hAnsi="Times New Roman" w:cs="Times New Roman"/>
          <w:lang w:bidi="en-US"/>
        </w:rPr>
        <w:t xml:space="preserve"> </w:t>
      </w:r>
      <w:r w:rsidRPr="007026A3">
        <w:rPr>
          <w:rFonts w:ascii="Times New Roman" w:hAnsi="Times New Roman" w:cs="Times New Roman"/>
        </w:rPr>
        <w:t>119-п "Об утверждении Положения о списании имущества, находящегося в собственности Ивановской области»;</w:t>
      </w:r>
    </w:p>
    <w:p w:rsidR="007026A3" w:rsidRPr="007026A3" w:rsidRDefault="007026A3" w:rsidP="007026A3">
      <w:pPr>
        <w:pStyle w:val="22"/>
        <w:numPr>
          <w:ilvl w:val="0"/>
          <w:numId w:val="3"/>
        </w:numPr>
        <w:shd w:val="clear" w:color="auto" w:fill="auto"/>
        <w:tabs>
          <w:tab w:val="left" w:pos="1003"/>
        </w:tabs>
        <w:spacing w:before="0" w:after="332" w:line="320" w:lineRule="exact"/>
        <w:ind w:firstLine="740"/>
        <w:rPr>
          <w:rFonts w:ascii="Times New Roman" w:hAnsi="Times New Roman" w:cs="Times New Roman"/>
        </w:rPr>
      </w:pPr>
      <w:r w:rsidRPr="007026A3">
        <w:rPr>
          <w:rFonts w:ascii="Times New Roman" w:hAnsi="Times New Roman" w:cs="Times New Roman"/>
        </w:rPr>
        <w:t>иных документов, регламентирующих организацию и ведение бюджетного учета.</w:t>
      </w:r>
    </w:p>
    <w:p w:rsidR="00EB4277" w:rsidRPr="007026A3" w:rsidRDefault="00EB4277" w:rsidP="007C285F">
      <w:pPr>
        <w:pStyle w:val="a3"/>
        <w:spacing w:before="0" w:after="0" w:line="240" w:lineRule="auto"/>
        <w:ind w:firstLine="567"/>
        <w:jc w:val="both"/>
        <w:rPr>
          <w:sz w:val="28"/>
          <w:szCs w:val="28"/>
        </w:rPr>
      </w:pPr>
    </w:p>
    <w:p w:rsidR="007C285F" w:rsidRPr="007026A3" w:rsidRDefault="008672B8" w:rsidP="007C285F">
      <w:pPr>
        <w:pStyle w:val="a3"/>
        <w:spacing w:before="0" w:after="0" w:line="240" w:lineRule="auto"/>
        <w:ind w:firstLine="567"/>
        <w:jc w:val="both"/>
        <w:rPr>
          <w:sz w:val="28"/>
          <w:szCs w:val="28"/>
        </w:rPr>
      </w:pPr>
      <w:r w:rsidRPr="007026A3">
        <w:rPr>
          <w:sz w:val="28"/>
          <w:szCs w:val="28"/>
        </w:rPr>
        <w:t>В учетную политику</w:t>
      </w:r>
      <w:r w:rsidR="00EB4277" w:rsidRPr="007026A3">
        <w:rPr>
          <w:sz w:val="28"/>
          <w:szCs w:val="28"/>
        </w:rPr>
        <w:t xml:space="preserve"> входя</w:t>
      </w:r>
      <w:r w:rsidRPr="007026A3">
        <w:rPr>
          <w:sz w:val="28"/>
          <w:szCs w:val="28"/>
        </w:rPr>
        <w:t>т</w:t>
      </w:r>
      <w:r w:rsidR="00EB4277" w:rsidRPr="007026A3">
        <w:rPr>
          <w:sz w:val="28"/>
          <w:szCs w:val="28"/>
        </w:rPr>
        <w:t xml:space="preserve"> основные положения</w:t>
      </w:r>
      <w:r w:rsidR="007C285F" w:rsidRPr="007026A3">
        <w:rPr>
          <w:sz w:val="28"/>
          <w:szCs w:val="28"/>
        </w:rPr>
        <w:t>:</w:t>
      </w:r>
    </w:p>
    <w:p w:rsidR="007C285F" w:rsidRPr="007026A3" w:rsidRDefault="007C285F" w:rsidP="007C285F">
      <w:pPr>
        <w:pStyle w:val="a3"/>
        <w:spacing w:before="0" w:after="0" w:line="240" w:lineRule="auto"/>
        <w:ind w:firstLine="0"/>
        <w:jc w:val="both"/>
        <w:rPr>
          <w:sz w:val="28"/>
          <w:szCs w:val="28"/>
        </w:rPr>
      </w:pPr>
      <w:r w:rsidRPr="007026A3">
        <w:rPr>
          <w:sz w:val="28"/>
          <w:szCs w:val="28"/>
        </w:rPr>
        <w:t xml:space="preserve">- </w:t>
      </w:r>
      <w:r w:rsidR="008672B8" w:rsidRPr="007026A3">
        <w:rPr>
          <w:sz w:val="28"/>
          <w:szCs w:val="28"/>
        </w:rPr>
        <w:t xml:space="preserve">документальное оформление, </w:t>
      </w:r>
    </w:p>
    <w:p w:rsidR="007C285F" w:rsidRPr="007026A3" w:rsidRDefault="007C285F" w:rsidP="007C285F">
      <w:pPr>
        <w:pStyle w:val="a3"/>
        <w:spacing w:before="0" w:after="0" w:line="240" w:lineRule="auto"/>
        <w:ind w:firstLine="0"/>
        <w:jc w:val="both"/>
        <w:rPr>
          <w:sz w:val="28"/>
          <w:szCs w:val="28"/>
        </w:rPr>
      </w:pPr>
      <w:r w:rsidRPr="007026A3">
        <w:rPr>
          <w:sz w:val="28"/>
          <w:szCs w:val="28"/>
        </w:rPr>
        <w:t xml:space="preserve">- </w:t>
      </w:r>
      <w:r w:rsidR="00F66850" w:rsidRPr="007026A3">
        <w:rPr>
          <w:sz w:val="28"/>
          <w:szCs w:val="28"/>
        </w:rPr>
        <w:t xml:space="preserve">учет не </w:t>
      </w:r>
      <w:r w:rsidR="008672B8" w:rsidRPr="007026A3">
        <w:rPr>
          <w:sz w:val="28"/>
          <w:szCs w:val="28"/>
        </w:rPr>
        <w:t>фина</w:t>
      </w:r>
      <w:bookmarkStart w:id="0" w:name="_GoBack"/>
      <w:bookmarkEnd w:id="0"/>
      <w:r w:rsidR="008672B8" w:rsidRPr="007026A3">
        <w:rPr>
          <w:sz w:val="28"/>
          <w:szCs w:val="28"/>
        </w:rPr>
        <w:t>нсовы</w:t>
      </w:r>
      <w:r w:rsidR="00F66850" w:rsidRPr="007026A3">
        <w:rPr>
          <w:sz w:val="28"/>
          <w:szCs w:val="28"/>
        </w:rPr>
        <w:t>х</w:t>
      </w:r>
      <w:r w:rsidR="008672B8" w:rsidRPr="007026A3">
        <w:rPr>
          <w:sz w:val="28"/>
          <w:szCs w:val="28"/>
        </w:rPr>
        <w:t xml:space="preserve"> актив</w:t>
      </w:r>
      <w:r w:rsidR="00F66850" w:rsidRPr="007026A3">
        <w:rPr>
          <w:sz w:val="28"/>
          <w:szCs w:val="28"/>
        </w:rPr>
        <w:t>ов</w:t>
      </w:r>
      <w:r w:rsidR="008672B8" w:rsidRPr="007026A3">
        <w:rPr>
          <w:sz w:val="28"/>
          <w:szCs w:val="28"/>
        </w:rPr>
        <w:t xml:space="preserve"> (основные средства, материальные запасы, обеспечение активов), </w:t>
      </w:r>
    </w:p>
    <w:p w:rsidR="007C285F" w:rsidRPr="007026A3" w:rsidRDefault="007C285F" w:rsidP="007C285F">
      <w:pPr>
        <w:pStyle w:val="a3"/>
        <w:spacing w:before="0" w:after="0" w:line="240" w:lineRule="auto"/>
        <w:ind w:firstLine="0"/>
        <w:jc w:val="both"/>
        <w:rPr>
          <w:sz w:val="28"/>
          <w:szCs w:val="28"/>
        </w:rPr>
      </w:pPr>
      <w:r w:rsidRPr="007026A3">
        <w:rPr>
          <w:sz w:val="28"/>
          <w:szCs w:val="28"/>
        </w:rPr>
        <w:t xml:space="preserve">- </w:t>
      </w:r>
      <w:r w:rsidR="008672B8" w:rsidRPr="007026A3">
        <w:rPr>
          <w:sz w:val="28"/>
          <w:szCs w:val="28"/>
        </w:rPr>
        <w:t xml:space="preserve">учет доходов  (расчеты с дебиторами </w:t>
      </w:r>
      <w:r w:rsidRPr="007026A3">
        <w:rPr>
          <w:sz w:val="28"/>
          <w:szCs w:val="28"/>
        </w:rPr>
        <w:t xml:space="preserve">по доходам), </w:t>
      </w:r>
    </w:p>
    <w:p w:rsidR="007C285F" w:rsidRPr="007026A3" w:rsidRDefault="007C285F" w:rsidP="007C285F">
      <w:pPr>
        <w:pStyle w:val="a3"/>
        <w:spacing w:before="0" w:after="0" w:line="240" w:lineRule="auto"/>
        <w:ind w:firstLine="0"/>
        <w:jc w:val="both"/>
        <w:rPr>
          <w:sz w:val="28"/>
          <w:szCs w:val="28"/>
        </w:rPr>
      </w:pPr>
      <w:r w:rsidRPr="007026A3">
        <w:rPr>
          <w:sz w:val="28"/>
          <w:szCs w:val="28"/>
        </w:rPr>
        <w:t>- учет движения финансовых активов (денежные средства, денежные эквиваленты и денежные документы),</w:t>
      </w:r>
    </w:p>
    <w:p w:rsidR="007C285F" w:rsidRPr="007026A3" w:rsidRDefault="007C285F" w:rsidP="007C285F">
      <w:pPr>
        <w:pStyle w:val="a3"/>
        <w:spacing w:before="0" w:after="0" w:line="240" w:lineRule="auto"/>
        <w:ind w:firstLine="0"/>
        <w:jc w:val="both"/>
        <w:rPr>
          <w:sz w:val="28"/>
          <w:szCs w:val="28"/>
        </w:rPr>
      </w:pPr>
      <w:r w:rsidRPr="007026A3">
        <w:rPr>
          <w:sz w:val="28"/>
          <w:szCs w:val="28"/>
        </w:rPr>
        <w:t>- учет движения обязательств (операции с безналичными денежными средствами, расчёты с дебиторами и кредиторами, расчеты по оплате труда),</w:t>
      </w:r>
    </w:p>
    <w:p w:rsidR="00EB4277" w:rsidRPr="007026A3" w:rsidRDefault="007C285F" w:rsidP="007C285F">
      <w:pPr>
        <w:pStyle w:val="a3"/>
        <w:spacing w:before="0" w:after="0" w:line="240" w:lineRule="auto"/>
        <w:ind w:firstLine="0"/>
        <w:jc w:val="both"/>
        <w:rPr>
          <w:sz w:val="28"/>
          <w:szCs w:val="28"/>
        </w:rPr>
      </w:pPr>
      <w:proofErr w:type="gramStart"/>
      <w:r w:rsidRPr="007026A3">
        <w:rPr>
          <w:sz w:val="28"/>
          <w:szCs w:val="28"/>
        </w:rPr>
        <w:t>- санкционирование расходов (регистрация расходов (регистрация обязательств</w:t>
      </w:r>
      <w:r w:rsidR="00EB4277" w:rsidRPr="007026A3">
        <w:rPr>
          <w:sz w:val="28"/>
          <w:szCs w:val="28"/>
        </w:rPr>
        <w:t>)</w:t>
      </w:r>
      <w:proofErr w:type="gramEnd"/>
    </w:p>
    <w:p w:rsidR="00EB4277" w:rsidRPr="007026A3" w:rsidRDefault="00EB4277" w:rsidP="00EB4277">
      <w:pPr>
        <w:pStyle w:val="a3"/>
        <w:spacing w:before="0" w:after="0" w:line="240" w:lineRule="auto"/>
        <w:ind w:firstLine="0"/>
        <w:jc w:val="both"/>
        <w:rPr>
          <w:sz w:val="28"/>
          <w:szCs w:val="28"/>
        </w:rPr>
      </w:pPr>
      <w:r w:rsidRPr="007026A3">
        <w:rPr>
          <w:sz w:val="28"/>
          <w:szCs w:val="28"/>
        </w:rPr>
        <w:t xml:space="preserve">- особенности </w:t>
      </w:r>
      <w:proofErr w:type="spellStart"/>
      <w:r w:rsidRPr="007026A3">
        <w:rPr>
          <w:sz w:val="28"/>
          <w:szCs w:val="28"/>
        </w:rPr>
        <w:t>забалансового</w:t>
      </w:r>
      <w:proofErr w:type="spellEnd"/>
      <w:r w:rsidR="007C285F" w:rsidRPr="007026A3">
        <w:rPr>
          <w:sz w:val="28"/>
          <w:szCs w:val="28"/>
        </w:rPr>
        <w:t xml:space="preserve"> учет</w:t>
      </w:r>
      <w:r w:rsidRPr="007026A3">
        <w:rPr>
          <w:sz w:val="28"/>
          <w:szCs w:val="28"/>
        </w:rPr>
        <w:t>а,</w:t>
      </w:r>
    </w:p>
    <w:p w:rsidR="00EB4277" w:rsidRPr="007026A3" w:rsidRDefault="00EB4277" w:rsidP="00EB4277">
      <w:pPr>
        <w:pStyle w:val="a3"/>
        <w:spacing w:before="0" w:after="0" w:line="240" w:lineRule="auto"/>
        <w:ind w:firstLine="0"/>
        <w:jc w:val="both"/>
        <w:rPr>
          <w:sz w:val="28"/>
          <w:szCs w:val="28"/>
        </w:rPr>
      </w:pPr>
      <w:r w:rsidRPr="007026A3">
        <w:rPr>
          <w:sz w:val="28"/>
          <w:szCs w:val="28"/>
        </w:rPr>
        <w:t>- формирование бухгалтерской отчетности,</w:t>
      </w:r>
    </w:p>
    <w:p w:rsidR="00EB4277" w:rsidRPr="007026A3" w:rsidRDefault="00EB4277" w:rsidP="00EB4277">
      <w:pPr>
        <w:pStyle w:val="a3"/>
        <w:spacing w:before="0" w:after="0" w:line="240" w:lineRule="auto"/>
        <w:ind w:firstLine="0"/>
        <w:jc w:val="both"/>
        <w:rPr>
          <w:sz w:val="28"/>
          <w:szCs w:val="28"/>
        </w:rPr>
      </w:pPr>
      <w:r w:rsidRPr="007026A3">
        <w:rPr>
          <w:sz w:val="28"/>
          <w:szCs w:val="28"/>
        </w:rPr>
        <w:t>-</w:t>
      </w:r>
      <w:r w:rsidR="007C285F" w:rsidRPr="007026A3">
        <w:rPr>
          <w:sz w:val="28"/>
          <w:szCs w:val="28"/>
        </w:rPr>
        <w:t xml:space="preserve"> исправление ошибок, </w:t>
      </w:r>
    </w:p>
    <w:p w:rsidR="00EB4277" w:rsidRPr="007026A3" w:rsidRDefault="00EB4277" w:rsidP="00EB4277">
      <w:pPr>
        <w:pStyle w:val="a3"/>
        <w:spacing w:before="0" w:after="0" w:line="240" w:lineRule="auto"/>
        <w:ind w:firstLine="0"/>
        <w:jc w:val="both"/>
        <w:rPr>
          <w:sz w:val="28"/>
          <w:szCs w:val="28"/>
        </w:rPr>
      </w:pPr>
      <w:r w:rsidRPr="007026A3">
        <w:rPr>
          <w:sz w:val="28"/>
          <w:szCs w:val="28"/>
        </w:rPr>
        <w:t xml:space="preserve">- </w:t>
      </w:r>
      <w:r w:rsidR="007C285F" w:rsidRPr="007026A3">
        <w:rPr>
          <w:sz w:val="28"/>
          <w:szCs w:val="28"/>
        </w:rPr>
        <w:t xml:space="preserve">внутренний финансовый контроль, </w:t>
      </w:r>
    </w:p>
    <w:p w:rsidR="007C285F" w:rsidRPr="007026A3" w:rsidRDefault="00EB4277" w:rsidP="00EB4277">
      <w:pPr>
        <w:pStyle w:val="a3"/>
        <w:spacing w:before="0" w:after="0" w:line="240" w:lineRule="auto"/>
        <w:ind w:firstLine="0"/>
        <w:jc w:val="both"/>
        <w:rPr>
          <w:sz w:val="28"/>
          <w:szCs w:val="28"/>
        </w:rPr>
      </w:pPr>
      <w:r w:rsidRPr="007026A3">
        <w:rPr>
          <w:sz w:val="28"/>
          <w:szCs w:val="28"/>
        </w:rPr>
        <w:t xml:space="preserve">- </w:t>
      </w:r>
      <w:r w:rsidR="007C285F" w:rsidRPr="007026A3">
        <w:rPr>
          <w:sz w:val="28"/>
          <w:szCs w:val="28"/>
        </w:rPr>
        <w:t>изменение учётной политики.</w:t>
      </w:r>
    </w:p>
    <w:p w:rsidR="007C285F" w:rsidRPr="007026A3" w:rsidRDefault="007C285F" w:rsidP="007C285F">
      <w:pPr>
        <w:pStyle w:val="a3"/>
        <w:spacing w:before="0" w:after="0" w:line="240" w:lineRule="auto"/>
        <w:ind w:firstLine="0"/>
        <w:jc w:val="both"/>
        <w:rPr>
          <w:sz w:val="28"/>
          <w:szCs w:val="28"/>
        </w:rPr>
      </w:pPr>
    </w:p>
    <w:sectPr w:rsidR="007C285F" w:rsidRPr="007026A3" w:rsidSect="007C285F">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burg">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pPr>
        <w:ind w:left="0" w:firstLine="0"/>
      </w:pPr>
    </w:lvl>
  </w:abstractNum>
  <w:abstractNum w:abstractNumId="1">
    <w:nsid w:val="4F3F770A"/>
    <w:multiLevelType w:val="multilevel"/>
    <w:tmpl w:val="FE326164"/>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i w:val="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
    <w:nsid w:val="5F6D1B34"/>
    <w:multiLevelType w:val="multilevel"/>
    <w:tmpl w:val="B62090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32D"/>
    <w:rsid w:val="00166DC8"/>
    <w:rsid w:val="002B6C63"/>
    <w:rsid w:val="0033332D"/>
    <w:rsid w:val="00386401"/>
    <w:rsid w:val="003C543F"/>
    <w:rsid w:val="0059253B"/>
    <w:rsid w:val="007026A3"/>
    <w:rsid w:val="007C285F"/>
    <w:rsid w:val="008672B8"/>
    <w:rsid w:val="00D26DDA"/>
    <w:rsid w:val="00EB4277"/>
    <w:rsid w:val="00F601B3"/>
    <w:rsid w:val="00F66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026A3"/>
    <w:pPr>
      <w:keepNext/>
      <w:numPr>
        <w:numId w:val="2"/>
      </w:numPr>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7026A3"/>
    <w:pPr>
      <w:keepNext/>
      <w:numPr>
        <w:ilvl w:val="1"/>
        <w:numId w:val="2"/>
      </w:numPr>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qFormat/>
    <w:rsid w:val="007026A3"/>
    <w:pPr>
      <w:numPr>
        <w:ilvl w:val="2"/>
        <w:numId w:val="2"/>
      </w:numPr>
      <w:spacing w:before="120" w:after="120"/>
      <w:ind w:firstLine="482"/>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7026A3"/>
    <w:pPr>
      <w:numPr>
        <w:ilvl w:val="3"/>
        <w:numId w:val="2"/>
      </w:numPr>
      <w:spacing w:before="120" w:after="120"/>
      <w:ind w:firstLine="482"/>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7026A3"/>
    <w:pPr>
      <w:keepNext/>
      <w:keepLines/>
      <w:numPr>
        <w:ilvl w:val="4"/>
        <w:numId w:val="2"/>
      </w:numPr>
      <w:spacing w:before="200" w:after="0"/>
      <w:ind w:firstLine="482"/>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7026A3"/>
    <w:pPr>
      <w:keepNext/>
      <w:keepLines/>
      <w:numPr>
        <w:ilvl w:val="5"/>
        <w:numId w:val="2"/>
      </w:numPr>
      <w:spacing w:before="200" w:after="0"/>
      <w:ind w:firstLine="482"/>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7026A3"/>
    <w:pPr>
      <w:keepNext/>
      <w:numPr>
        <w:ilvl w:val="6"/>
        <w:numId w:val="2"/>
      </w:numPr>
      <w:spacing w:after="0" w:line="240" w:lineRule="auto"/>
      <w:jc w:val="center"/>
      <w:outlineLvl w:val="6"/>
    </w:pPr>
    <w:rPr>
      <w:rFonts w:ascii="Peterburg" w:eastAsia="Times New Roman" w:hAnsi="Peterburg" w:cs="Times New Roman"/>
      <w:b/>
      <w:sz w:val="28"/>
      <w:szCs w:val="20"/>
      <w:lang w:eastAsia="ru-RU"/>
    </w:rPr>
  </w:style>
  <w:style w:type="paragraph" w:styleId="8">
    <w:name w:val="heading 8"/>
    <w:basedOn w:val="a"/>
    <w:next w:val="a"/>
    <w:link w:val="80"/>
    <w:uiPriority w:val="9"/>
    <w:qFormat/>
    <w:rsid w:val="007026A3"/>
    <w:pPr>
      <w:keepNext/>
      <w:keepLines/>
      <w:numPr>
        <w:ilvl w:val="7"/>
        <w:numId w:val="2"/>
      </w:numPr>
      <w:spacing w:before="200" w:after="0"/>
      <w:ind w:firstLine="482"/>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7026A3"/>
    <w:pPr>
      <w:keepNext/>
      <w:keepLines/>
      <w:numPr>
        <w:ilvl w:val="8"/>
        <w:numId w:val="2"/>
      </w:numPr>
      <w:spacing w:before="200" w:after="0"/>
      <w:ind w:firstLine="482"/>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2B8"/>
    <w:pPr>
      <w:spacing w:before="120" w:after="120"/>
      <w:ind w:firstLine="482"/>
      <w:contextualSpacing/>
    </w:pPr>
    <w:rPr>
      <w:rFonts w:ascii="Times New Roman" w:eastAsia="Times New Roman" w:hAnsi="Times New Roman" w:cs="Times New Roman"/>
      <w:lang w:eastAsia="ru-RU"/>
    </w:rPr>
  </w:style>
  <w:style w:type="character" w:styleId="a4">
    <w:name w:val="Hyperlink"/>
    <w:uiPriority w:val="99"/>
    <w:unhideWhenUsed/>
    <w:rsid w:val="008672B8"/>
    <w:rPr>
      <w:color w:val="0000FF"/>
      <w:u w:val="single"/>
    </w:rPr>
  </w:style>
  <w:style w:type="character" w:customStyle="1" w:styleId="10">
    <w:name w:val="Заголовок 1 Знак"/>
    <w:basedOn w:val="a0"/>
    <w:link w:val="1"/>
    <w:uiPriority w:val="9"/>
    <w:rsid w:val="007026A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7026A3"/>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7026A3"/>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7026A3"/>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7026A3"/>
    <w:rPr>
      <w:rFonts w:ascii="Times New Roman" w:eastAsia="Times New Roman" w:hAnsi="Times New Roman" w:cs="Times New Roman"/>
      <w:lang w:eastAsia="ru-RU"/>
    </w:rPr>
  </w:style>
  <w:style w:type="character" w:customStyle="1" w:styleId="60">
    <w:name w:val="Заголовок 6 Знак"/>
    <w:basedOn w:val="a0"/>
    <w:link w:val="6"/>
    <w:uiPriority w:val="9"/>
    <w:rsid w:val="007026A3"/>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7026A3"/>
    <w:rPr>
      <w:rFonts w:ascii="Peterburg" w:eastAsia="Times New Roman" w:hAnsi="Peterburg" w:cs="Times New Roman"/>
      <w:b/>
      <w:sz w:val="28"/>
      <w:szCs w:val="20"/>
      <w:lang w:eastAsia="ru-RU"/>
    </w:rPr>
  </w:style>
  <w:style w:type="character" w:customStyle="1" w:styleId="80">
    <w:name w:val="Заголовок 8 Знак"/>
    <w:basedOn w:val="a0"/>
    <w:link w:val="8"/>
    <w:uiPriority w:val="9"/>
    <w:rsid w:val="007026A3"/>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7026A3"/>
    <w:rPr>
      <w:rFonts w:ascii="Times New Roman" w:eastAsia="Times New Roman" w:hAnsi="Times New Roman" w:cs="Times New Roman"/>
      <w:i/>
      <w:iCs/>
      <w:color w:val="404040"/>
      <w:szCs w:val="20"/>
      <w:lang w:eastAsia="ru-RU"/>
    </w:rPr>
  </w:style>
  <w:style w:type="paragraph" w:customStyle="1" w:styleId="a5">
    <w:name w:val=" Знак Знак Знак Знак Знак Знак Знак Знак"/>
    <w:basedOn w:val="a"/>
    <w:rsid w:val="007026A3"/>
    <w:pPr>
      <w:spacing w:before="100" w:beforeAutospacing="1" w:after="100" w:afterAutospacing="1" w:line="240" w:lineRule="auto"/>
    </w:pPr>
    <w:rPr>
      <w:rFonts w:ascii="Tahoma" w:eastAsia="Times New Roman" w:hAnsi="Tahoma" w:cs="Times New Roman"/>
      <w:bCs/>
      <w:sz w:val="20"/>
      <w:szCs w:val="20"/>
      <w:lang w:val="en-US"/>
    </w:rPr>
  </w:style>
  <w:style w:type="paragraph" w:customStyle="1" w:styleId="ListParagraph">
    <w:name w:val="List Paragraph"/>
    <w:basedOn w:val="a"/>
    <w:uiPriority w:val="34"/>
    <w:qFormat/>
    <w:rsid w:val="007026A3"/>
    <w:pPr>
      <w:spacing w:before="120" w:after="120"/>
      <w:ind w:firstLine="482"/>
      <w:contextualSpacing/>
    </w:pPr>
    <w:rPr>
      <w:rFonts w:ascii="Times New Roman" w:eastAsia="Times New Roman" w:hAnsi="Times New Roman" w:cs="Times New Roman"/>
      <w:lang w:eastAsia="ru-RU"/>
    </w:rPr>
  </w:style>
  <w:style w:type="character" w:customStyle="1" w:styleId="21">
    <w:name w:val="Основной текст (2)_"/>
    <w:link w:val="22"/>
    <w:locked/>
    <w:rsid w:val="007026A3"/>
    <w:rPr>
      <w:sz w:val="28"/>
      <w:szCs w:val="28"/>
      <w:shd w:val="clear" w:color="auto" w:fill="FFFFFF"/>
    </w:rPr>
  </w:style>
  <w:style w:type="paragraph" w:customStyle="1" w:styleId="22">
    <w:name w:val="Основной текст (2)"/>
    <w:basedOn w:val="a"/>
    <w:link w:val="21"/>
    <w:rsid w:val="007026A3"/>
    <w:pPr>
      <w:widowControl w:val="0"/>
      <w:shd w:val="clear" w:color="auto" w:fill="FFFFFF"/>
      <w:spacing w:before="960" w:after="420" w:line="0" w:lineRule="atLeast"/>
      <w:ind w:hanging="194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026A3"/>
    <w:pPr>
      <w:keepNext/>
      <w:numPr>
        <w:numId w:val="2"/>
      </w:numPr>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7026A3"/>
    <w:pPr>
      <w:keepNext/>
      <w:numPr>
        <w:ilvl w:val="1"/>
        <w:numId w:val="2"/>
      </w:numPr>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qFormat/>
    <w:rsid w:val="007026A3"/>
    <w:pPr>
      <w:numPr>
        <w:ilvl w:val="2"/>
        <w:numId w:val="2"/>
      </w:numPr>
      <w:spacing w:before="120" w:after="120"/>
      <w:ind w:firstLine="482"/>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7026A3"/>
    <w:pPr>
      <w:numPr>
        <w:ilvl w:val="3"/>
        <w:numId w:val="2"/>
      </w:numPr>
      <w:spacing w:before="120" w:after="120"/>
      <w:ind w:firstLine="482"/>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7026A3"/>
    <w:pPr>
      <w:keepNext/>
      <w:keepLines/>
      <w:numPr>
        <w:ilvl w:val="4"/>
        <w:numId w:val="2"/>
      </w:numPr>
      <w:spacing w:before="200" w:after="0"/>
      <w:ind w:firstLine="482"/>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7026A3"/>
    <w:pPr>
      <w:keepNext/>
      <w:keepLines/>
      <w:numPr>
        <w:ilvl w:val="5"/>
        <w:numId w:val="2"/>
      </w:numPr>
      <w:spacing w:before="200" w:after="0"/>
      <w:ind w:firstLine="482"/>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7026A3"/>
    <w:pPr>
      <w:keepNext/>
      <w:numPr>
        <w:ilvl w:val="6"/>
        <w:numId w:val="2"/>
      </w:numPr>
      <w:spacing w:after="0" w:line="240" w:lineRule="auto"/>
      <w:jc w:val="center"/>
      <w:outlineLvl w:val="6"/>
    </w:pPr>
    <w:rPr>
      <w:rFonts w:ascii="Peterburg" w:eastAsia="Times New Roman" w:hAnsi="Peterburg" w:cs="Times New Roman"/>
      <w:b/>
      <w:sz w:val="28"/>
      <w:szCs w:val="20"/>
      <w:lang w:eastAsia="ru-RU"/>
    </w:rPr>
  </w:style>
  <w:style w:type="paragraph" w:styleId="8">
    <w:name w:val="heading 8"/>
    <w:basedOn w:val="a"/>
    <w:next w:val="a"/>
    <w:link w:val="80"/>
    <w:uiPriority w:val="9"/>
    <w:qFormat/>
    <w:rsid w:val="007026A3"/>
    <w:pPr>
      <w:keepNext/>
      <w:keepLines/>
      <w:numPr>
        <w:ilvl w:val="7"/>
        <w:numId w:val="2"/>
      </w:numPr>
      <w:spacing w:before="200" w:after="0"/>
      <w:ind w:firstLine="482"/>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7026A3"/>
    <w:pPr>
      <w:keepNext/>
      <w:keepLines/>
      <w:numPr>
        <w:ilvl w:val="8"/>
        <w:numId w:val="2"/>
      </w:numPr>
      <w:spacing w:before="200" w:after="0"/>
      <w:ind w:firstLine="482"/>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2B8"/>
    <w:pPr>
      <w:spacing w:before="120" w:after="120"/>
      <w:ind w:firstLine="482"/>
      <w:contextualSpacing/>
    </w:pPr>
    <w:rPr>
      <w:rFonts w:ascii="Times New Roman" w:eastAsia="Times New Roman" w:hAnsi="Times New Roman" w:cs="Times New Roman"/>
      <w:lang w:eastAsia="ru-RU"/>
    </w:rPr>
  </w:style>
  <w:style w:type="character" w:styleId="a4">
    <w:name w:val="Hyperlink"/>
    <w:uiPriority w:val="99"/>
    <w:unhideWhenUsed/>
    <w:rsid w:val="008672B8"/>
    <w:rPr>
      <w:color w:val="0000FF"/>
      <w:u w:val="single"/>
    </w:rPr>
  </w:style>
  <w:style w:type="character" w:customStyle="1" w:styleId="10">
    <w:name w:val="Заголовок 1 Знак"/>
    <w:basedOn w:val="a0"/>
    <w:link w:val="1"/>
    <w:uiPriority w:val="9"/>
    <w:rsid w:val="007026A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7026A3"/>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7026A3"/>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7026A3"/>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7026A3"/>
    <w:rPr>
      <w:rFonts w:ascii="Times New Roman" w:eastAsia="Times New Roman" w:hAnsi="Times New Roman" w:cs="Times New Roman"/>
      <w:lang w:eastAsia="ru-RU"/>
    </w:rPr>
  </w:style>
  <w:style w:type="character" w:customStyle="1" w:styleId="60">
    <w:name w:val="Заголовок 6 Знак"/>
    <w:basedOn w:val="a0"/>
    <w:link w:val="6"/>
    <w:uiPriority w:val="9"/>
    <w:rsid w:val="007026A3"/>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7026A3"/>
    <w:rPr>
      <w:rFonts w:ascii="Peterburg" w:eastAsia="Times New Roman" w:hAnsi="Peterburg" w:cs="Times New Roman"/>
      <w:b/>
      <w:sz w:val="28"/>
      <w:szCs w:val="20"/>
      <w:lang w:eastAsia="ru-RU"/>
    </w:rPr>
  </w:style>
  <w:style w:type="character" w:customStyle="1" w:styleId="80">
    <w:name w:val="Заголовок 8 Знак"/>
    <w:basedOn w:val="a0"/>
    <w:link w:val="8"/>
    <w:uiPriority w:val="9"/>
    <w:rsid w:val="007026A3"/>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7026A3"/>
    <w:rPr>
      <w:rFonts w:ascii="Times New Roman" w:eastAsia="Times New Roman" w:hAnsi="Times New Roman" w:cs="Times New Roman"/>
      <w:i/>
      <w:iCs/>
      <w:color w:val="404040"/>
      <w:szCs w:val="20"/>
      <w:lang w:eastAsia="ru-RU"/>
    </w:rPr>
  </w:style>
  <w:style w:type="paragraph" w:customStyle="1" w:styleId="a5">
    <w:name w:val=" Знак Знак Знак Знак Знак Знак Знак Знак"/>
    <w:basedOn w:val="a"/>
    <w:rsid w:val="007026A3"/>
    <w:pPr>
      <w:spacing w:before="100" w:beforeAutospacing="1" w:after="100" w:afterAutospacing="1" w:line="240" w:lineRule="auto"/>
    </w:pPr>
    <w:rPr>
      <w:rFonts w:ascii="Tahoma" w:eastAsia="Times New Roman" w:hAnsi="Tahoma" w:cs="Times New Roman"/>
      <w:bCs/>
      <w:sz w:val="20"/>
      <w:szCs w:val="20"/>
      <w:lang w:val="en-US"/>
    </w:rPr>
  </w:style>
  <w:style w:type="paragraph" w:customStyle="1" w:styleId="ListParagraph">
    <w:name w:val="List Paragraph"/>
    <w:basedOn w:val="a"/>
    <w:uiPriority w:val="34"/>
    <w:qFormat/>
    <w:rsid w:val="007026A3"/>
    <w:pPr>
      <w:spacing w:before="120" w:after="120"/>
      <w:ind w:firstLine="482"/>
      <w:contextualSpacing/>
    </w:pPr>
    <w:rPr>
      <w:rFonts w:ascii="Times New Roman" w:eastAsia="Times New Roman" w:hAnsi="Times New Roman" w:cs="Times New Roman"/>
      <w:lang w:eastAsia="ru-RU"/>
    </w:rPr>
  </w:style>
  <w:style w:type="character" w:customStyle="1" w:styleId="21">
    <w:name w:val="Основной текст (2)_"/>
    <w:link w:val="22"/>
    <w:locked/>
    <w:rsid w:val="007026A3"/>
    <w:rPr>
      <w:sz w:val="28"/>
      <w:szCs w:val="28"/>
      <w:shd w:val="clear" w:color="auto" w:fill="FFFFFF"/>
    </w:rPr>
  </w:style>
  <w:style w:type="paragraph" w:customStyle="1" w:styleId="22">
    <w:name w:val="Основной текст (2)"/>
    <w:basedOn w:val="a"/>
    <w:link w:val="21"/>
    <w:rsid w:val="007026A3"/>
    <w:pPr>
      <w:widowControl w:val="0"/>
      <w:shd w:val="clear" w:color="auto" w:fill="FFFFFF"/>
      <w:spacing w:before="960" w:after="420" w:line="0" w:lineRule="atLeast"/>
      <w:ind w:hanging="194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8161AA42813FF2C5CEF20345109A18045E915A4D486592BF0D91A3DD55F1698951AD87C989255BD5FAE996C40490654393C4422B6702763792395C742FD69E8EDC4717EA615CE677B5d6R0M" TargetMode="External"/><Relationship Id="rId13"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18"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26" Type="http://schemas.openxmlformats.org/officeDocument/2006/relationships/hyperlink" Target="consultantplus://offline/ref=9D8161AA42813FF2C5CEF20345109A18045E915A4D486592BF0D91A3DD55F1698951AD87C989255BD5F8EF97C60D98654393C4422B6702763792395C742FD69E8EDC4717EA615CE677B5d6R0M" TargetMode="External"/><Relationship Id="rId3" Type="http://schemas.microsoft.com/office/2007/relationships/stylesWithEffects" Target="stylesWithEffects.xml"/><Relationship Id="rId21"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34" Type="http://schemas.openxmlformats.org/officeDocument/2006/relationships/fontTable" Target="fontTable.xml"/><Relationship Id="rId7"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12"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17"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25"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33"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2" Type="http://schemas.openxmlformats.org/officeDocument/2006/relationships/styles" Target="styles.xml"/><Relationship Id="rId16"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20"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29" Type="http://schemas.openxmlformats.org/officeDocument/2006/relationships/hyperlink" Target="consultantplus://offline/ref=9D8161AA42813FF2C5CEF20345109A18045E915A4D486592BF0D91A3DD55F1698951AD87C989255BD5FAE995C40791654393C4422B6702763792395C742FD69E8EDF4C4BBB23d1R3M" TargetMode="External"/><Relationship Id="rId1" Type="http://schemas.openxmlformats.org/officeDocument/2006/relationships/numbering" Target="numbering.xml"/><Relationship Id="rId6"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11"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24"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32"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5" Type="http://schemas.openxmlformats.org/officeDocument/2006/relationships/webSettings" Target="webSettings.xml"/><Relationship Id="rId15"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23"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28"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0"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19"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31"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4" Type="http://schemas.openxmlformats.org/officeDocument/2006/relationships/settings" Target="settings.xml"/><Relationship Id="rId9"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14"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2"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27"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30"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1979</Words>
  <Characters>11285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Novikova</cp:lastModifiedBy>
  <cp:revision>7</cp:revision>
  <cp:lastPrinted>2019-01-09T15:00:00Z</cp:lastPrinted>
  <dcterms:created xsi:type="dcterms:W3CDTF">2021-03-31T12:37:00Z</dcterms:created>
  <dcterms:modified xsi:type="dcterms:W3CDTF">2021-04-21T14:12:00Z</dcterms:modified>
</cp:coreProperties>
</file>